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4B0BE" w14:textId="77777777" w:rsidR="00675E96" w:rsidRDefault="00675E96" w:rsidP="00675E96">
      <w:pPr>
        <w:spacing w:before="240"/>
        <w:ind w:firstLine="426"/>
        <w:rPr>
          <w:rFonts w:cs="Times New Roman"/>
          <w:szCs w:val="24"/>
        </w:rPr>
      </w:pPr>
      <w:r>
        <w:rPr>
          <w:rFonts w:cs="Times New Roman"/>
          <w:szCs w:val="24"/>
        </w:rPr>
        <w:t>Należy stosować oprawy oświetleniowe o następujących parametrach:</w:t>
      </w:r>
    </w:p>
    <w:p w14:paraId="229D3D65" w14:textId="77777777" w:rsidR="00675E96" w:rsidRDefault="00675E96" w:rsidP="00675E96">
      <w:pPr>
        <w:pStyle w:val="Akapitzlist"/>
        <w:numPr>
          <w:ilvl w:val="0"/>
          <w:numId w:val="1"/>
        </w:numPr>
        <w:spacing w:before="240" w:line="276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t>materiał korpusu – odlew aluminium – kolor do uzgodnienia z Inwestorem,</w:t>
      </w:r>
    </w:p>
    <w:p w14:paraId="05491367" w14:textId="77777777" w:rsidR="00675E96" w:rsidRDefault="00675E96" w:rsidP="00675E96">
      <w:pPr>
        <w:pStyle w:val="Akapitzlist"/>
        <w:numPr>
          <w:ilvl w:val="0"/>
          <w:numId w:val="1"/>
        </w:numPr>
        <w:spacing w:before="240" w:line="276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t>klosz –szkło o odporności na uderzenia IK08,</w:t>
      </w:r>
    </w:p>
    <w:p w14:paraId="5F7A0360" w14:textId="77777777" w:rsidR="00675E96" w:rsidRDefault="00675E96" w:rsidP="00675E96">
      <w:pPr>
        <w:pStyle w:val="Akapitzlist"/>
        <w:numPr>
          <w:ilvl w:val="0"/>
          <w:numId w:val="1"/>
        </w:numPr>
        <w:spacing w:before="240" w:line="276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t>szczelność oprawy – IP66,</w:t>
      </w:r>
    </w:p>
    <w:p w14:paraId="66E0531D" w14:textId="77777777" w:rsidR="00675E96" w:rsidRDefault="00675E96" w:rsidP="00675E96">
      <w:pPr>
        <w:pStyle w:val="Akapitzlist"/>
        <w:numPr>
          <w:ilvl w:val="0"/>
          <w:numId w:val="1"/>
        </w:numPr>
        <w:spacing w:before="240" w:line="276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t>znamionowe napięcie pracy – 230V/50Hz,</w:t>
      </w:r>
    </w:p>
    <w:p w14:paraId="46E16630" w14:textId="77777777" w:rsidR="00675E96" w:rsidRDefault="00675E96" w:rsidP="00675E96">
      <w:pPr>
        <w:pStyle w:val="Akapitzlist"/>
        <w:numPr>
          <w:ilvl w:val="0"/>
          <w:numId w:val="1"/>
        </w:numPr>
        <w:spacing w:before="240" w:line="276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oprawa przy montażu na wysięgniku powinna umożliwiać zmianę kąta nachylenia, </w:t>
      </w:r>
    </w:p>
    <w:p w14:paraId="501A136E" w14:textId="77777777" w:rsidR="00675E96" w:rsidRDefault="00675E96" w:rsidP="00675E96">
      <w:pPr>
        <w:pStyle w:val="Akapitzlist"/>
        <w:numPr>
          <w:ilvl w:val="0"/>
          <w:numId w:val="1"/>
        </w:numPr>
        <w:spacing w:before="240" w:line="276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t>moc maksymalna uwzględniająca wszystkie straty – 87W (ME4b), 47W (ME5),</w:t>
      </w:r>
    </w:p>
    <w:p w14:paraId="1368548E" w14:textId="77777777" w:rsidR="00675E96" w:rsidRDefault="00675E96" w:rsidP="00675E96">
      <w:pPr>
        <w:pStyle w:val="Akapitzlist"/>
        <w:numPr>
          <w:ilvl w:val="0"/>
          <w:numId w:val="1"/>
        </w:numPr>
        <w:spacing w:before="240" w:line="276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t>minimalny strumień świetlny oprawy – 10471lm (ME4b), 5642lm (ME5),</w:t>
      </w:r>
    </w:p>
    <w:p w14:paraId="24808D26" w14:textId="77777777" w:rsidR="00675E96" w:rsidRDefault="00675E96" w:rsidP="00675E96">
      <w:pPr>
        <w:pStyle w:val="Akapitzlist"/>
        <w:numPr>
          <w:ilvl w:val="0"/>
          <w:numId w:val="1"/>
        </w:numPr>
        <w:spacing w:before="240" w:line="276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Skuteczność świetlna minimum – 120lm/W </w:t>
      </w:r>
    </w:p>
    <w:p w14:paraId="72B3C22B" w14:textId="77777777" w:rsidR="00675E96" w:rsidRDefault="00675E96" w:rsidP="00675E96">
      <w:pPr>
        <w:pStyle w:val="Akapitzlist"/>
        <w:numPr>
          <w:ilvl w:val="0"/>
          <w:numId w:val="1"/>
        </w:numPr>
        <w:spacing w:before="240" w:line="276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t>temperatura barwowa neutralnie biała ~ 4000 K,</w:t>
      </w:r>
    </w:p>
    <w:p w14:paraId="752CE3E1" w14:textId="77777777" w:rsidR="00675E96" w:rsidRDefault="00675E96" w:rsidP="00675E96">
      <w:pPr>
        <w:pStyle w:val="Akapitzlist"/>
        <w:numPr>
          <w:ilvl w:val="0"/>
          <w:numId w:val="1"/>
        </w:numPr>
        <w:spacing w:before="240" w:line="276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t>współczynnik oddawania barw Ra ~ 70 lub wyższym,</w:t>
      </w:r>
    </w:p>
    <w:p w14:paraId="562F1D1B" w14:textId="77777777" w:rsidR="00675E96" w:rsidRDefault="00675E96" w:rsidP="00675E96">
      <w:pPr>
        <w:pStyle w:val="Akapitzlist"/>
        <w:numPr>
          <w:ilvl w:val="0"/>
          <w:numId w:val="1"/>
        </w:numPr>
        <w:spacing w:before="240" w:line="276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t>oprawy muszą posiadać minimum 5-letnią gwarancję producenta możliwą do realizacji w Polsce,</w:t>
      </w:r>
    </w:p>
    <w:p w14:paraId="687C8413" w14:textId="77777777" w:rsidR="00675E96" w:rsidRDefault="00675E96" w:rsidP="00675E96">
      <w:pPr>
        <w:pStyle w:val="Akapitzlist"/>
        <w:numPr>
          <w:ilvl w:val="0"/>
          <w:numId w:val="1"/>
        </w:numPr>
        <w:spacing w:before="240" w:line="276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oprawa powinna posiadać deklarację WE producenta, certyfikat ENEC oraz </w:t>
      </w:r>
      <w:proofErr w:type="spellStart"/>
      <w:r>
        <w:rPr>
          <w:rFonts w:cs="Times New Roman"/>
          <w:szCs w:val="24"/>
        </w:rPr>
        <w:t>RoHS</w:t>
      </w:r>
      <w:proofErr w:type="spellEnd"/>
      <w:r>
        <w:rPr>
          <w:rFonts w:cs="Times New Roman"/>
          <w:szCs w:val="24"/>
        </w:rPr>
        <w:t>.</w:t>
      </w:r>
    </w:p>
    <w:p w14:paraId="0BE3C2FE" w14:textId="77777777" w:rsidR="00675E96" w:rsidRDefault="00675E96" w:rsidP="00675E96">
      <w:pPr>
        <w:spacing w:before="240"/>
        <w:rPr>
          <w:rFonts w:cs="Times New Roman"/>
          <w:szCs w:val="24"/>
        </w:rPr>
      </w:pPr>
      <w:r>
        <w:rPr>
          <w:rFonts w:cs="Times New Roman"/>
          <w:szCs w:val="24"/>
        </w:rPr>
        <w:t>Wykonawca ma obowiązek przed wykonaniem oświetlenia dostarczenia inwestorowi obliczeń potwierdzających prawidłowość doboru opraw.</w:t>
      </w:r>
    </w:p>
    <w:p w14:paraId="657C5DEC" w14:textId="77777777" w:rsidR="00524B3D" w:rsidRDefault="00524B3D">
      <w:bookmarkStart w:id="0" w:name="_GoBack"/>
      <w:bookmarkEnd w:id="0"/>
    </w:p>
    <w:sectPr w:rsidR="00524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22998"/>
    <w:multiLevelType w:val="hybridMultilevel"/>
    <w:tmpl w:val="0088CBC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718"/>
    <w:rsid w:val="002B0718"/>
    <w:rsid w:val="00524B3D"/>
    <w:rsid w:val="0067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B37A7D-775B-411C-82B6-F6D05B2A4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675E96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5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3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773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2019-10-10T19:00:00Z</dcterms:created>
  <dcterms:modified xsi:type="dcterms:W3CDTF">2019-10-10T19:01:00Z</dcterms:modified>
</cp:coreProperties>
</file>